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39"/>
      <w:bookmarkEnd w:id="1"/>
      <w:r>
        <w:rPr>
          <w:rStyle w:val="DefaultParagraphFont"/>
          <w:rFonts w:ascii="Calibri" w:eastAsia="Calibri" w:hAnsi="Calibri" w:cs="Calibri"/>
          <w:b/>
          <w:i w:val="0"/>
          <w:caps w:val="0"/>
          <w:smallCaps w:val="0"/>
          <w:strike w:val="0"/>
          <w:color w:val="auto"/>
          <w:w w:val="100"/>
          <w:sz w:val="20"/>
          <w:szCs w:val="20"/>
          <w:highlight w:val="none"/>
        </w:rPr>
        <w:t>Opština Šid</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41"/>
      <w:bookmarkEnd w:id="2"/>
      <w:r w:rsidRPr="001F55F6">
        <w:rPr>
          <w:rStyle w:val="DefaultParagraphFont"/>
          <w:rFonts w:ascii="Calibri" w:eastAsia="Calibri" w:hAnsi="Calibri" w:cs="Calibri"/>
          <w:b/>
          <w:i w:val="0"/>
          <w:caps w:val="0"/>
          <w:smallCaps w:val="0"/>
          <w:strike w:val="0"/>
          <w:color w:val="auto"/>
          <w:w w:val="100"/>
          <w:sz w:val="20"/>
          <w:szCs w:val="20"/>
          <w:highlight w:val="none"/>
        </w:rPr>
        <w:t>101233945</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42"/>
      <w:bookmarkEnd w:id="3"/>
      <w:r w:rsidRPr="001F55F6">
        <w:rPr>
          <w:rStyle w:val="DefaultParagraphFont"/>
          <w:rFonts w:ascii="Calibri" w:eastAsia="Calibri" w:hAnsi="Calibri" w:cs="Calibri"/>
          <w:b/>
          <w:i w:val="0"/>
          <w:caps w:val="0"/>
          <w:smallCaps w:val="0"/>
          <w:strike w:val="0"/>
          <w:color w:val="auto"/>
          <w:w w:val="100"/>
          <w:sz w:val="20"/>
          <w:szCs w:val="20"/>
          <w:highlight w:val="none"/>
        </w:rPr>
        <w:t>Karađorđeva 2</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44"/>
      <w:bookmarkEnd w:id="4"/>
      <w:r w:rsidRPr="001F55F6">
        <w:rPr>
          <w:rStyle w:val="DefaultParagraphFont"/>
          <w:rFonts w:ascii="Calibri" w:eastAsia="Calibri" w:hAnsi="Calibri" w:cs="Calibri"/>
          <w:b/>
          <w:i w:val="0"/>
          <w:caps w:val="0"/>
          <w:smallCaps w:val="0"/>
          <w:strike w:val="0"/>
          <w:color w:val="auto"/>
          <w:w w:val="100"/>
          <w:sz w:val="20"/>
          <w:szCs w:val="20"/>
          <w:highlight w:val="none"/>
        </w:rPr>
        <w:t>22240</w:t>
      </w:r>
      <w:r w:rsidRPr="001F55F6">
        <w:rPr>
          <w:rFonts w:cstheme="minorHAnsi"/>
          <w:b/>
          <w:sz w:val="20"/>
          <w:szCs w:val="20"/>
        </w:rPr>
        <w:t> </w:t>
      </w:r>
      <w:bookmarkStart w:id="5" w:name="43"/>
      <w:bookmarkEnd w:id="5"/>
      <w:r w:rsidRPr="001F55F6">
        <w:rPr>
          <w:rStyle w:val="DefaultParagraphFont"/>
          <w:rFonts w:ascii="Calibri" w:eastAsia="Calibri" w:hAnsi="Calibri" w:cs="Calibri"/>
          <w:b/>
          <w:i w:val="0"/>
          <w:caps w:val="0"/>
          <w:smallCaps w:val="0"/>
          <w:strike w:val="0"/>
          <w:color w:val="auto"/>
          <w:w w:val="100"/>
          <w:sz w:val="20"/>
          <w:szCs w:val="20"/>
          <w:highlight w:val="none"/>
        </w:rPr>
        <w:t>Šid</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10.05.2021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404-8-3/IV-2021-07</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40"/>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Opština Šid</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37"/>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404-8/2021</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36"/>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Izgradnja objekta ambulante u Ilincima</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35"/>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F02-0007419</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1"/>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38"/>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45215100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Izgradnja objekta ambulante u Ilincima</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25.717.208,00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grupi ponuđača</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GAT DOO NOVI SAD</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100447637</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Bulevar oslobođenja, 30 A</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Novi Sad</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21000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8" w:name="17"/>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TEHNO INŽENJERING 1992 DOO NOVI SAD</w:t>
            </w:r>
            <w:r w:rsidRPr="00B84A8C">
              <w:rPr>
                <w:rFonts w:cstheme="minorHAnsi"/>
                <w:b/>
                <w:bCs/>
                <w:sz w:val="20"/>
                <w:szCs w:val="20"/>
                <w:lang w:val="sr-Latn-BA"/>
              </w:rPr>
              <w:t xml:space="preserve">, </w:t>
            </w:r>
            <w:bookmarkStart w:id="29" w:name="18"/>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100454247</w:t>
            </w:r>
            <w:r w:rsidRPr="00B84A8C">
              <w:rPr>
                <w:rFonts w:cstheme="minorHAnsi"/>
                <w:b/>
                <w:bCs/>
                <w:sz w:val="20"/>
                <w:szCs w:val="20"/>
                <w:lang w:val="sr-Latn-BA"/>
              </w:rPr>
              <w:t xml:space="preserve">, </w:t>
            </w:r>
            <w:bookmarkStart w:id="30" w:name="19"/>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BULEVAR OSLOBOĐENJA, 30 A</w:t>
            </w:r>
            <w:r w:rsidRPr="00B84A8C">
              <w:rPr>
                <w:rFonts w:cstheme="minorHAnsi"/>
                <w:b/>
                <w:bCs/>
                <w:sz w:val="20"/>
                <w:szCs w:val="20"/>
                <w:lang w:val="sr-Latn-BA"/>
              </w:rPr>
              <w:t xml:space="preserve">, </w:t>
            </w:r>
            <w:bookmarkStart w:id="31" w:name="20"/>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Novi Sad</w:t>
            </w:r>
            <w:r w:rsidRPr="00B84A8C">
              <w:rPr>
                <w:rFonts w:cstheme="minorHAnsi"/>
                <w:b/>
                <w:bCs/>
                <w:sz w:val="20"/>
                <w:szCs w:val="20"/>
                <w:lang w:val="sr-Latn-BA"/>
              </w:rPr>
              <w:t xml:space="preserve">, </w:t>
            </w:r>
            <w:bookmarkStart w:id="32" w:name="21"/>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21000</w:t>
            </w:r>
            <w:r w:rsidRPr="00B84A8C">
              <w:rPr>
                <w:rFonts w:cstheme="minorHAnsi"/>
                <w:b/>
                <w:bCs/>
                <w:sz w:val="20"/>
                <w:szCs w:val="20"/>
                <w:lang w:val="sr-Latn-BA"/>
              </w:rPr>
              <w:t xml:space="preserve">, </w:t>
            </w:r>
            <w:bookmarkStart w:id="33" w:name="22"/>
            <w:bookmarkEnd w:id="33"/>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34" w:name="23"/>
            <w:bookmarkEnd w:id="3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RESA GRADNJA DRUŠTVO SA OGRANIČENOM ODGOVORNOŠĆU NOVI BANOVCI</w:t>
            </w:r>
            <w:r w:rsidRPr="00B84A8C">
              <w:rPr>
                <w:rFonts w:cstheme="minorHAnsi"/>
                <w:b/>
                <w:bCs/>
                <w:sz w:val="20"/>
                <w:szCs w:val="20"/>
                <w:lang w:val="sr-Latn-BA"/>
              </w:rPr>
              <w:t xml:space="preserve">, </w:t>
            </w:r>
            <w:bookmarkStart w:id="35" w:name="24"/>
            <w:bookmarkEnd w:id="3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105751673</w:t>
            </w:r>
            <w:r w:rsidRPr="00B84A8C">
              <w:rPr>
                <w:rFonts w:cstheme="minorHAnsi"/>
                <w:b/>
                <w:bCs/>
                <w:sz w:val="20"/>
                <w:szCs w:val="20"/>
                <w:lang w:val="sr-Latn-BA"/>
              </w:rPr>
              <w:t xml:space="preserve">, </w:t>
            </w:r>
            <w:bookmarkStart w:id="36" w:name="25"/>
            <w:bookmarkEnd w:id="3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SVETOSAVSKA, 142</w:t>
            </w:r>
            <w:r w:rsidRPr="00B84A8C">
              <w:rPr>
                <w:rFonts w:cstheme="minorHAnsi"/>
                <w:b/>
                <w:bCs/>
                <w:sz w:val="20"/>
                <w:szCs w:val="20"/>
                <w:lang w:val="sr-Latn-BA"/>
              </w:rPr>
              <w:t xml:space="preserve">, </w:t>
            </w:r>
            <w:bookmarkStart w:id="37" w:name="26"/>
            <w:bookmarkEnd w:id="3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Novi Banovci</w:t>
            </w:r>
            <w:r w:rsidRPr="00B84A8C">
              <w:rPr>
                <w:rFonts w:cstheme="minorHAnsi"/>
                <w:b/>
                <w:bCs/>
                <w:sz w:val="20"/>
                <w:szCs w:val="20"/>
                <w:lang w:val="sr-Latn-BA"/>
              </w:rPr>
              <w:t xml:space="preserve">, </w:t>
            </w:r>
            <w:bookmarkStart w:id="38" w:name="27"/>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22304</w:t>
            </w:r>
            <w:r w:rsidRPr="00B84A8C">
              <w:rPr>
                <w:rFonts w:cstheme="minorHAnsi"/>
                <w:b/>
                <w:bCs/>
                <w:sz w:val="20"/>
                <w:szCs w:val="20"/>
                <w:lang w:val="sr-Latn-BA"/>
              </w:rPr>
              <w:t xml:space="preserve">, </w:t>
            </w:r>
            <w:bookmarkStart w:id="39" w:name="28"/>
            <w:bookmarkEnd w:id="39"/>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40" w:name="29"/>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FITIŠ-JU PREDUZEĆE ZA INŽENJERING I PROIZVODNJU PROTIVPOŽARNIH I ALARMNIH SISTEMA I SISTEMA INTERNE TELEVIZIJE,DRUŠTVO SA OGRANIČENOM ODGOVORNOŠĆU  SUBOTICA</w:t>
            </w:r>
            <w:r w:rsidRPr="00B84A8C">
              <w:rPr>
                <w:rFonts w:cstheme="minorHAnsi"/>
                <w:b/>
                <w:bCs/>
                <w:sz w:val="20"/>
                <w:szCs w:val="20"/>
                <w:lang w:val="sr-Latn-BA"/>
              </w:rPr>
              <w:t xml:space="preserve">, </w:t>
            </w:r>
            <w:bookmarkStart w:id="41" w:name="30"/>
            <w:bookmarkEnd w:id="4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100838664</w:t>
            </w:r>
            <w:r w:rsidRPr="00B84A8C">
              <w:rPr>
                <w:rFonts w:cstheme="minorHAnsi"/>
                <w:b/>
                <w:bCs/>
                <w:sz w:val="20"/>
                <w:szCs w:val="20"/>
                <w:lang w:val="sr-Latn-BA"/>
              </w:rPr>
              <w:t xml:space="preserve">, </w:t>
            </w:r>
            <w:bookmarkStart w:id="42" w:name="31"/>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Petra Svačića, 12a</w:t>
            </w:r>
            <w:r w:rsidRPr="00B84A8C">
              <w:rPr>
                <w:rFonts w:cstheme="minorHAnsi"/>
                <w:b/>
                <w:bCs/>
                <w:sz w:val="20"/>
                <w:szCs w:val="20"/>
                <w:lang w:val="sr-Latn-BA"/>
              </w:rPr>
              <w:t xml:space="preserve">, </w:t>
            </w:r>
            <w:bookmarkStart w:id="43" w:name="32"/>
            <w:bookmarkEnd w:id="4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Subotica</w:t>
            </w:r>
            <w:r w:rsidRPr="00B84A8C">
              <w:rPr>
                <w:rFonts w:cstheme="minorHAnsi"/>
                <w:b/>
                <w:bCs/>
                <w:sz w:val="20"/>
                <w:szCs w:val="20"/>
                <w:lang w:val="sr-Latn-BA"/>
              </w:rPr>
              <w:t xml:space="preserve">, </w:t>
            </w:r>
            <w:bookmarkStart w:id="44" w:name="33"/>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24000</w:t>
            </w:r>
            <w:r w:rsidRPr="00B84A8C">
              <w:rPr>
                <w:rFonts w:cstheme="minorHAnsi"/>
                <w:b/>
                <w:bCs/>
                <w:sz w:val="20"/>
                <w:szCs w:val="20"/>
                <w:lang w:val="sr-Latn-BA"/>
              </w:rPr>
              <w:t xml:space="preserve">, </w:t>
            </w:r>
            <w:bookmarkStart w:id="45" w:name="34"/>
            <w:bookmarkEnd w:id="45"/>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46" w:name="4"/>
      <w:bookmarkEnd w:id="4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25.681.420,54</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47" w:name="5"/>
      <w:bookmarkEnd w:id="4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30.817.704,65</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48" w:name="6"/>
      <w:bookmarkEnd w:id="4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Izgradnja objekta ambulante u Ilincima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404-8/2021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404-8-1/IV-2021-07, 05.02.2021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25.717.208,00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45215100-Radovi na izgradnji zgrada u funkciji zdravstvenih usluga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Predmet ovih radova je izgradnja ambulante spratnosti (P). Unutrašnja visina</w:t>
                    <w:br/>
                    <w:t>prizemlja je 3.0m od kote gotovog poda. Kota poda objekta je izdignuta 55cm u odnosu</w:t>
                    <w:br/>
                    <w:t>na kotu terena.</w:t>
                    <w:br/>
                    <w:t>Predmetni objekat je namenjen za medicinske usluge. Sve prostorije u objektu su</w:t>
                    <w:br/>
                    <w:t>međusobno povezane i čine jednu funkcionalnu celinu. Prizemlje se sastoji od</w:t>
                    <w:br/>
                    <w:t>segmenata koji zavise od vrste specijalnosti. Ulaz je centralni sa centralnim</w:t>
                    <w:br/>
                    <w:t>hodnikom koji usmerava pacijente.</w:t>
                    <w:br/>
                    <w:t>Objekat je projektovan od kvalitetnog građevinskog materijala koji se može naći na</w:t>
                    <w:br/>
                    <w:t>domaćem tržištu i prema važećim tehničkim propisima i normativima za ovu</w:t>
                    <w:br/>
                    <w:t>vrstu objekta</w:t>
                    <w:br/>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2021/S F02-0007419</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16.03.2021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15.04.2021 08:00:00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Gordana Životić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Siniša Dobrić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Branislav Čubrilo</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Aleksandar Grahovac</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Vuk Stanković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Milan Krneta</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Snežana Popović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Dragica Milić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Slobodan Avramović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Željka Jarić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predmetu / partijama</w:t>
                  </w: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Izgradnja objekta ambulante u Ilincima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204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Garantni rok od dana primopredaje radova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Kraći rok izvođenja radova.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za izvođenje radova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Garantni rok za izvedene radove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15.04.2021 08:00:00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15.04.2021 08:00:16</w:t>
                  </w:r>
                </w:p>
              </w:tc>
            </w:tr>
            <w:tr>
              <w:tblPrEx>
                <w:tblInd w:w="39" w:type="dxa"/>
                <w:tblCellMar>
                  <w:left w:w="0" w:type="dxa"/>
                  <w:right w:w="0" w:type="dxa"/>
                </w:tblCellMar>
                <w:tblLook w:val="0000"/>
              </w:tblPrEx>
              <w:trPr>
                <w:trHeight w:val="6162"/>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INVESTMENT PROJECT GROUP DOO BEOGRAD, BULEVAR ARSENIJA ČARNOJEVIĆA, 66,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1504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14.4.2021. 10:33:40</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14.4.2021. 12:23:00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 Bankarska garancija za ozbiljnost ponude </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14.4.2021. 12:23:00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 Pismo namera za izdavanje garancije za povraćaj avansnog plaćanja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14.4.2021. 12:23:00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Pismo namera za izdavanje garancije za dobro izvršenje posla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14.4.2021. 12:23:00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Pismo namera za izdavanje garancije za otklanjanje grešaka u garantnom roku</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FITIŠ-JU PREDUZEĆE ZA INŽENJERING I PROIZVODNJU PROTIVPOŽARNIH I ALARMNIH SISTEMA I SISTEMA INTERNE TELEVIZIJE,DRUŠTVO SA OGRANIČENOM ODGOVORNOŠĆU  SUBOTICA, Petra Svačića, 12a, 24000, Subotica, Srbija;GAT DOO NOVI SAD, Bulevar oslobođenja, 30 A, 21000, Novi Sad, Srbija;RESA GRADNJA DRUŠTVO SA OGRANIČENOM ODGOVORNOŠĆU NOVI BANOVCI, SVETOSAVSKA, 142, 22304, Novi Banovci, Srbija;TEHNO INŽENJERING 1992 DOO NOVI SAD, BULEVAR OSLOBOĐENJA, 30 A, 21000, Novi Sad,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53/2021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14.4.2021. 16:51:11</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14.4.2021. 13:16:00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Bankarska garancija za ozbiljnost ponude</w:t>
                                <w:br/>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14.4.2021. 13:16:00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 Pismo namera za izdavanje garancije za povraćaj avansnog plaćanja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14.4.2021. 13:16:00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 Pismo namera za izdavanje garancije za dobro</w:t>
                                <w:br/>
                                <w:t>izvršenje posla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14.4.2021. 13:16:00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 Pismo namera za izdavanje garancije za otklanjanje grešaka u garantnom roku</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0578"/>
                    <w:gridCol w:w="4813"/>
                  </w:tblGrid>
                  <w:tr>
                    <w:tblPrEx>
                      <w:tblCellMar>
                        <w:left w:w="0" w:type="dxa"/>
                        <w:right w:w="0" w:type="dxa"/>
                      </w:tblCellMar>
                      <w:tblLook w:val="0000"/>
                    </w:tblPrEx>
                    <w:tc>
                      <w:tcPr>
                        <w:tcW w:w="10578"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Garantni rok za izvedene radove [godina]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za izvođenje radova [dan]</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FITIŠ-JU PREDUZEĆE ZA INŽENJERING I PROIZVODNJU PROTIVPOŽARNIH I ALARMNIH SISTEMA I SISTEMA INTERNE TELEVIZIJE,DRUŠTVO SA OGRANIČENOM ODGOVORNOŠĆU  SUBOTICA;GAT DOO NOVI SAD;RESA GRADNJA DRUŠTVO SA OGRANIČENOM ODGOVORNOŠĆU NOVI BANOVCI;TEHNO INŽENJERING 1992 DOO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25681420.54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30817704.65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Avansno, u visini od 30% od ukupne ugovorene cene, u roku od 45 dana od dana prijema avansnog predračuna, uz dostavljanje sledeće dokumentacije: - predračuna u iznosu avansa; - bankarske garancije za povraćaj avansnog plaćanja. </w:t>
                                <w:br/>
                                <w:t>U visini od 70%, po osnovu overenih privremenih mesečnih situacija i okončanoj situaciji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INVESTMENT PROJECT GROUP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21941158.65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26329390.38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 Avansno, u visini od 30% od ukupne ugovorene cene, u roku od 45 dana od dana prijema avansnog</w:t>
                                <w:br/>
                                <w:t>predračuna, uz dostavljanje sledeće dokumentacije:</w:t>
                                <w:br/>
                                <w:t>- predračuna u iznosu avansa;</w:t>
                                <w:br/>
                                <w:t>- bankarske garancije za povraćaj avansnog plaćanja.</w:t>
                                <w:br/>
                                <w:t>2. U visini od 70%, po osnovu overenih privremenih mesečnih situacija i okončanoj situaciji, sačinjenim na</w:t>
                                <w:br/>
                                <w:t xml:space="preserve">osnovu overene građevinske knjige izvedenih radova i jediničnih cena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150.00</w:t>
                              </w:r>
                            </w:p>
                          </w:tc>
                        </w:tr>
                      </w:tbl>
                      <w:p>
                        <w:pPr>
                          <w:spacing w:before="0" w:after="0"/>
                          <w:rPr>
                            <w:rFonts w:ascii="Times New Roman" w:eastAsia="Times New Roman" w:hAnsi="Times New Roman"/>
                            <w:sz w:val="20"/>
                            <w:szCs w:val="20"/>
                          </w:rPr>
                        </w:pPr>
                      </w:p>
                    </w:tc>
                    <w:tc>
                      <w:tcPr>
                        <w:tcW w:w="48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0578"/>
                    <w:gridCol w:w="4819"/>
                  </w:tblGrid>
                  <w:tr>
                    <w:tblPrEx>
                      <w:tblCellMar>
                        <w:left w:w="0" w:type="dxa"/>
                        <w:right w:w="0" w:type="dxa"/>
                      </w:tblCellMar>
                      <w:tblLook w:val="0000"/>
                    </w:tblPrEx>
                    <w:tc>
                      <w:tcPr>
                        <w:tcW w:w="10578"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Garantni rok za izvedene radove [godina]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za izvođenje radova [dan]</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FITIŠ-JU PREDUZEĆE ZA INŽENJERING I PROIZVODNJU PROTIVPOŽARNIH I ALARMNIH SISTEMA I SISTEMA INTERNE TELEVIZIJE,DRUŠTVO SA OGRANIČENOM ODGOVORNOŠĆU  SUBOTICA;GAT DOO NOVI SAD;RESA GRADNJA DRUŠTVO SA OGRANIČENOM ODGOVORNOŠĆU NOVI BANOVCI;TEHNO INŽENJERING 1992 DOO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25681420.54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30817704.65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Avansno, u visini od 30% od ukupne ugovorene cene, u roku od 45 dana od dana prijema avansnog predračuna, uz dostavljanje sledeće dokumentacije: - predračuna u iznosu avansa; - bankarske garancije za povraćaj avansnog plaćanja. </w:t>
                                <w:br/>
                                <w:t>U visini od 70%, po osnovu overenih privremenih mesečnih situacija i okončanoj situaciji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INVESTMENT PROJECT GROUP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21941158.65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26329390.38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 Avansno, u visini od 30% od ukupne ugovorene cene, u roku od 45 dana od dana prijema avansnog</w:t>
                                <w:br/>
                                <w:t>predračuna, uz dostavljanje sledeće dokumentacije:</w:t>
                                <w:br/>
                                <w:t>- predračuna u iznosu avansa;</w:t>
                                <w:br/>
                                <w:t>- bankarske garancije za povraćaj avansnog plaćanja.</w:t>
                                <w:br/>
                                <w:t>2. U visini od 70%, po osnovu overenih privremenih mesečnih situacija i okončanoj situaciji, sačinjenim na</w:t>
                                <w:br/>
                                <w:t xml:space="preserve">osnovu overene građevinske knjige izvedenih radova i jediničnih cena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150.00</w:t>
                              </w:r>
                            </w:p>
                          </w:tc>
                        </w:tr>
                      </w:tbl>
                      <w:p>
                        <w:pPr>
                          <w:spacing w:before="0" w:after="0"/>
                          <w:rPr>
                            <w:rFonts w:ascii="Times New Roman" w:eastAsia="Times New Roman" w:hAnsi="Times New Roman"/>
                            <w:sz w:val="20"/>
                            <w:szCs w:val="20"/>
                          </w:rPr>
                        </w:pPr>
                      </w:p>
                    </w:tc>
                    <w:tc>
                      <w:tcPr>
                        <w:tcW w:w="481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204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INVESTMENT PROJECT GROUP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21.941.158,65</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26.329.390,38</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Ponuda se odbija kao neprihvatljiva  jer nisu ispunjeni kriterijumi za izbor privrednog subjekta. </w:t>
                                <w:br/>
                                <w:t>Nedostaje:</w:t>
                                <w:br/>
                                <w:br/>
                                <w:t>Finansijski i ekonomski kapacitet</w:t>
                                <w:br/>
                                <w:t>Ukupni prihod</w:t>
                                <w:br/>
                                <w:t>1-USLOV: Da je ostvareni poslovni prihod u poslednje tri godine (2018, 2019, 2020) za koje su dostavljeni podaci mora da bude veći od 50.000.000.00 dinara</w:t>
                                <w:br/>
                                <w:t>DOKAZ: Izveštaj o bonitetu Centra za bonitet (Obrazac BON-JN) Agencije za privredne registre, koji mora da sadrži: statusne podatke ponuđača, sažeti bilans stanja i bilans uspeha za prethodne tri obračunske godine, pokazatelje za ocenu boniteta za prethodne tri obračunske godine (2018, 2019 i 2020). Ukoliko Izveštaj o bonitetu Centra za bonitet (Obrazac BON-JN) ne sadrži podatke za 2020. godinu, dostaviti Bilans stanja i Bilans uspeha za 2020. godinu.</w:t>
                                <w:br/>
                                <w:br/>
                                <w:t>Drugi ekonomski ili finansijski uslovi</w:t>
                                <w:br/>
                                <w:t>1-Uslov: da ponuđač, u poslednjih šest meseci pre isteka roka za podnošenje ponuda, a u zavisnosti od datuma osnivanja privrednog subjekta, odnosno početka obavljanja delatnosti, nije bio u blokadi.</w:t>
                                <w:br/>
                                <w:t>Dokaz: potvrda Narodne banke Srbije da ponuđač u poslednjih šest meseci pre isteka roka za podnošenje ponuda, a u zavisnosti od datuma osnivanja privrednog subjekta, odnosno početka obavljanja delatnosti, nije bio u blokadi.</w:t>
                                <w:br/>
                                <w:br/>
                                <w:t>Tehnički i stručni kapacitet</w:t>
                                <w:br/>
                                <w:t>Spisak izvedenih radova</w:t>
                                <w:br/>
                                <w:t>USLOV:</w:t>
                                <w:br/>
                                <w:t>1- Da je ponuđač u prethodne tri godine od dana isteka roka za podnošenje ponuda na Portalu javnih nabavki realizovao ugovore u ukupnoj vrednosti od najmanje 50.000.000.00 dinara bez poreza na dodatu vrednost, a koji se odnose na izvođenje građevinskih i građevinsko zanatskih radova i instalaterskih radova (vodovod, kanalizacija, elektroinstalacije, instalacije grejanja) na izgradnji objekata visokogradnje javne namene.</w:t>
                                <w:br/>
                                <w:t>2- Da je ponuđač u prethodne tri godine od dana isteka roka za podnošenje ponuda na Portalu javnih nabavki realizovao jedan ugovor na izgradnji objekta visokogradnje javne namene minimalne vrednosti 25.000.000,00 dinara bez poreza na dodatnu vrednost, a koji se odnose na izvođenje građevinskih i građevinsko zanatskih radova i instalaterskih radova (vodovod, kanalizacija, elektroinstalacije, instalacije grejanja)</w:t>
                                <w:br/>
                                <w:t>3- Da je ponuđač u prethodne tri od dana isteka roka za podnošenje ponuda na Portalu javnih nabavki realizovao po jednom ugovoru minimalno 4.000.000,00 dinara bez poreza na dodatnu vrednost na ugradnji aluminijumske stolarije na objektu visokogradnje javne namene.</w:t>
                                <w:br/>
                                <w:t>4- Da je ponuđač u prethodne tri od dana isteka roka za podnošenje ponuda na Portalu javnih nabavki realizovao po jednom ugovoru minimalno 2.000.000,00 dinara bez poreza na dodatnu vrednost na izradi fasadne obloge fasadnom opekom.</w:t>
                                <w:br/>
                                <w:t>5-Da je ponuđač u prethodne tri godine od dana isteka roka za podnošenje ponuda na Portalu javnih nabavki realizovao po jednom ugovoru minimalno 4.000.000,00 dinara bez poreza na dodatnu</w:t>
                                <w:br/>
                                <w:t>vrednost na izradi instalacija za grejanje, hlađenje i ventilaciju (VRF – tehnologija promenjljivog fluida)</w:t>
                                <w:br/>
                                <w:t>Dokaz:</w:t>
                                <w:br/>
                                <w:t>-Popunjen i potpisan od strane odgovornog lica ponuđača Obrazac Referentne liste. Ponuđač je dužan da uz Referentnu listu dostavi potpisane i overene Obrasce potvrda o ranije realizovanim ugovorima, od strane naručilaca navedenih u Referentnoj listi.</w:t>
                                <w:br/>
                                <w:t>-Potvrde naručilaca o realizaciji zaključenih ugovora mogu biti na originalnom Obrascu iz Konkursne dokumentacije ili izdate od strane drugih naručilaca na njihovim obrascima, pri čemu takve potvrde moraju imati sve elemente koje sadrži Obrazac iz Konkursne dokumentacije i to:</w:t>
                                <w:br/>
                                <w:t>- naziv i adresu naručioca,</w:t>
                                <w:br/>
                                <w:t>- naziv i sedište ponuđača,</w:t>
                                <w:br/>
                                <w:t>- oblik nastupanja za radove za koje se izdaje Potvrda,</w:t>
                                <w:br/>
                                <w:t>- izjava da su radovi za potrebe tog naručioca izvršeni kvalitetno i u ugovorenom roku,</w:t>
                                <w:br/>
                                <w:t>- vrsta radova,</w:t>
                                <w:br/>
                                <w:t>- vrednost izvedenih radova,</w:t>
                                <w:br/>
                                <w:t>- broj i datum ugovora,</w:t>
                                <w:br/>
                                <w:t>- izjava da se Potvrda izdaje radi učešća na tenderu i u druge svrhe se ne može koristiti,</w:t>
                                <w:br/>
                                <w:t>- kontakt osoba naručioca i telefon,</w:t>
                                <w:br/>
                                <w:t>- potpis ovlašćenog lica naručioca.</w:t>
                                <w:br/>
                                <w:t>Uz potvrdu Naručioca dostaviti:</w:t>
                                <w:br/>
                                <w:t>Fotokopije Ugovora na koje se potvrda odnosi.</w:t>
                                <w:br/>
                                <w:t>Fotokopije odgovarajućih strana, Okončanih situacija (prve i poslednje i drugih po potrebi) po tim ugovorima.</w:t>
                                <w:br/>
                                <w:t>Tehnička lica ili tela - izvođenje radova</w:t>
                                <w:br/>
                                <w:t>Uslov:</w:t>
                                <w:br/>
                                <w:t>Ponuđač mora da raspolaže potrebnim brojem i kvalifikacijama izvršilaca za sve vreme izvršenja ugovora o javnoj nabavci i to:</w:t>
                                <w:br/>
                                <w:t>- najmanje 70 izvršilaca,</w:t>
                                <w:br/>
                                <w:t>- najmanje 1 diplomirani inženjer koji poseduje važeću licencu Inženjerske komore Srbije, i to: licencu 400 ili 401 ili 410 ili 411 ili 800 -koji će rešenjem biti imenovan za odgovornog izvođača radova u predmetnoj javnoj nabavci</w:t>
                                <w:br/>
                                <w:t>- najmanje 1 diplomirani inženjer koji poseduje važeću licencu Inženjerske komore Srbije, i to: licencu 450 ili 453 koji će rešenjem biti imenovan za odgovornog izvođača radova u predmetnoj javnoj nabavci</w:t>
                                <w:br/>
                                <w:t>- najmanje 1 diplomirani inženjer koji poseduje važeću licencu Inženjerske komore Srbije, i to: licencu  430 koji će rešenjem biti imenovan za odgovornog izvođača radova u predmetnoj javnoj nabavci</w:t>
                                <w:br/>
                                <w:t>- najmanje 1 lice za bezbednost i zdravlje na radu sa položenim stručnim ispitom</w:t>
                                <w:br/>
                                <w:t>- od ukupno zahtevanih 70 radnika minimalno 20 građevinskih radnika mora biti sposobno za rad na visini</w:t>
                                <w:br/>
                                <w:t>Dokaz:</w:t>
                                <w:br/>
                                <w:t>a) obaveštenje o podnetoj poreskoj prijavi PPP-PD, izvod iz pojedinačne poreske prijave za porez i doprinose po odbitku, a kojim ponuđač dokazuje da raspolaže sa potrebnim brojem izvršilaca.</w:t>
                                <w:br/>
                                <w:t>Ponuđač je u obavezi da dostavi izvod iz pojedinačne poreske prijave za porez i doprinose po odbitku za mesec koji prethodi mesecu objave poziva za podnošenje ponuda, overenu potpisom ovlašćenog lica ponuđača.</w:t>
                                <w:br/>
                                <w:t>b) dokaz o radnom statusu: za nosioce licenci koji su kod ponuđača zaposleni – fotokopiju ugovora o radu i M-A obrazac,</w:t>
                                <w:br/>
                                <w:t>v) dokaz o radnom angažovanju: za nosioce licenci koji nisu zaposleni kod ponuđača: ugovor – fotokopija ugovora o delu / ugovora o obavljanju privremenih i povremenih poslova ili drugog ugovora o radnom angažovanju i odgovarajući M obrazac u skladu sa zakonom o radu odnosno zakonom o doprinosima za obavezno socijalno osiguranje.</w:t>
                                <w:br/>
                                <w:t>g) fotokopije ličnih licenci koja se mora overiti njegovim potpisom.</w:t>
                                <w:br/>
                                <w:t>d) za lice za bezbednost i zdravlje na radu dostaviti dokaz o radnom statusu ukoliko je kod ponuđača zaposlen na neodređeno vreme – fotokopija ugovora o radu i M-A obrazac, fotokopiju potrebne licence-uverenja.</w:t>
                                <w:br/>
                                <w:t>Ukoliko lice za bezbednost i zdravlje na radu nije u stalnom radnom odnosu kod ponuđača, dokaz o radnom angažovanju - fotokopija ugovora o delu / ugovora o obavljanju privremenih i povremenih</w:t>
                                <w:br/>
                                <w:t>poslova ili drugog ugovora o radnom angažovanju i odogovarajući M obrazac u skladu sa zakonom o radu odnosno zakonom o doprinosima za obavezno socijalno osiguranje)</w:t>
                                <w:br/>
                                <w:br/>
                                <w:t>Alati, pogonska ili tehnička oprema</w:t>
                                <w:br/>
                                <w:t>Uslov:</w:t>
                                <w:br/>
                                <w:t>Ponuđač mora da raspolaže (po osnovu vlasništva, zakupa, lizinga) opremom za izvođenje sledećih</w:t>
                                <w:br/>
                                <w:t>radova: zemljanih radova, radova na otklanjanju šuta, zidarskih radova, građevinsko-zanatskih radova, instalaterskih radova i drugih radova koji se izvode u okviru predmeta javne nabavke.</w:t>
                                <w:br/>
                                <w:t>Minimalno zahtevana oprema kojom ponuđač mora da raspolaže:</w:t>
                                <w:br/>
                                <w:t>Kamion „sandučar“ ili kiper 1 komad</w:t>
                                <w:br/>
                                <w:t>Lako dostavno vozilo -1 komad</w:t>
                                <w:br/>
                                <w:t>Konzolna dizalica – „vrabac“ nosivosti min 500kg -1 komad</w:t>
                                <w:br/>
                                <w:t>Kombinovana mašina – „Skip“ -1 komad</w:t>
                                <w:br/>
                                <w:t>Cevasta fasadna skela - 300 m2 - 1 komad</w:t>
                                <w:br/>
                                <w:t>Industrujski usisivač za deponovanje prašine min. snage 3,5kw - 1 komad</w:t>
                                <w:br/>
                                <w:t>DOKAZ:</w:t>
                                <w:br/>
                                <w:t>a) za opremu nabavljenu do kraja godine koja prethodi godini u kojoj se sprovodi javna nabavka, popisna lista ili analitička kartica osnovnih sredstava na kojim će vidno biti označena tražena tehnička oprema. Popisna lista mora biti sa poslednjim datumom u godini koja prethodi godini u kojoj se javna nabavka sprovodi, potpisana od strane ovlašćenog lica ponuđača.</w:t>
                                <w:br/>
                                <w:t>b) za sredstva nabavljena u godini u kojoj se javna nabavka sprovodi – račun i otpremnica;</w:t>
                                <w:br/>
                                <w:t>v) dokaz o zakupu – fotokopija ugovora o zakupu sa popisnom listom zakupodavca;</w:t>
                                <w:br/>
                                <w:t>g) dokaz o lizingu – fotokopija ugovora o lizingu.</w:t>
                                <w:br/>
                                <w:t>đ) za kamione, bagere točkaše i druga vozila kod kojih postoji zakonska obaveza registracije bez obzira na osnov korišćenja (vlasništvo, zakup, lizing)</w:t>
                                <w:br/>
                                <w:br/>
                                <w:t>Standardi osiguranja kvaliteta i standardi upravljanja životnom sredinom</w:t>
                                <w:br/>
                                <w:t>Standardi osiguranja kvaliteta</w:t>
                                <w:br/>
                                <w:t>USLOV:</w:t>
                                <w:br/>
                                <w:t>Ponuđač mora da poseduje sertifikate o ispunjenosti standarda:</w:t>
                                <w:br/>
                                <w:t>- ISO 22301 – sistem menadžmenta kontinuitetom poslovanja sa obimom sertifikacije koji se odnosi na građevinske radove,</w:t>
                                <w:br/>
                                <w:t>- ISO 37001 - sistemmenadžmenta protiv mita sa obimom sertifikacije koji se odnosi na građevinske radove,</w:t>
                                <w:br/>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nisu ispunjeni kriterijumi za izbor privrednog subjekta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FITIŠ-JU PREDUZEĆE ZA INŽENJERING I PROIZVODNJU PROTIVPOŽARNIH I ALARMNIH SISTEMA I SISTEMA INTERNE TELEVIZIJE,DRUŠTVO SA OGRANIČENOM ODGOVORNOŠĆU  SUBOTICA;GAT DOO NOVI SAD;RESA GRADNJA DRUŠTVO SA OGRANIČENOM ODGOVORNOŠĆU NOVI BANOVCI;TEHNO INŽENJERING 1992 DOO NOVI SAD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25.681.420,54</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30.817.704,65</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Izabire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FITIŠ-JU PREDUZEĆE ZA INŽENJERING I PROIZVODNJU PROTIVPOŽARNIH I ALARMNIH SISTEMA I SISTEMA INTERNE TELEVIZIJE,DRUŠTVO SA OGRANIČENOM ODGOVORNOŠĆU  SUBOTICA;GAT DOO NOVI SAD;RESA GRADNJA DRUŠTVO SA OGRANIČENOM ODGOVORNOŠĆU NOVI BANOVCI;TEHNO INŽENJERING 1992 DOO NOVI SAD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25.681.420,54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Ponuda ponuđača je prihvatljiva i odgovarajuća jer ispunjava sve  uslove navedene u konkursnoj dokumentaciji što je čini prihvatljivom i odgovarajućom. </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članovima grupe izabranog ponuđača i delovima koje će izvršavati članovi</w:t>
                  </w:r>
                </w:p>
              </w:tc>
            </w:tr>
            <w:tr>
              <w:tblPrEx>
                <w:tblInd w:w="39" w:type="dxa"/>
                <w:tblCellMar>
                  <w:left w:w="0" w:type="dxa"/>
                  <w:right w:w="0" w:type="dxa"/>
                </w:tblCellMar>
                <w:tblLook w:val="0000"/>
              </w:tblPrEx>
              <w:trPr>
                <w:trHeight w:val="20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84"/>
                    <w:gridCol w:w="26"/>
                  </w:tblGrid>
                  <w:tr>
                    <w:tblPrEx>
                      <w:tblCellMar>
                        <w:left w:w="0" w:type="dxa"/>
                        <w:right w:w="0" w:type="dxa"/>
                      </w:tblCellMar>
                      <w:tblLook w:val="0000"/>
                    </w:tblPrEx>
                    <w:trPr>
                      <w:trHeight w:val="40"/>
                    </w:trPr>
                    <w:tc>
                      <w:tcPr>
                        <w:tcW w:w="15384" w:type="dxa"/>
                        <w:shd w:val="clear" w:color="auto" w:fill="auto"/>
                      </w:tcPr>
                      <w:p>
                        <w:pPr>
                          <w:spacing w:before="0" w:after="0"/>
                          <w:rPr>
                            <w:rFonts w:ascii="Times New Roman" w:eastAsia="Times New Roman" w:hAnsi="Times New Roman"/>
                            <w:sz w:val="2"/>
                            <w:szCs w:val="20"/>
                          </w:rPr>
                        </w:pPr>
                      </w:p>
                    </w:tc>
                    <w:tc>
                      <w:tcPr>
                        <w:tcW w:w="26"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84" w:type="dxa"/>
                        <w:shd w:val="clear" w:color="auto" w:fill="auto"/>
                      </w:tcPr>
                      <w:tbl>
                        <w:tblPr>
                          <w:tblStyle w:val="TableNormal"/>
                          <w:tblInd w:w="39" w:type="dxa"/>
                          <w:tblCellMar>
                            <w:left w:w="0" w:type="dxa"/>
                            <w:right w:w="0" w:type="dxa"/>
                          </w:tblCellMar>
                          <w:tblLook w:val="0000"/>
                        </w:tblPr>
                        <w:tblGrid>
                          <w:gridCol w:w="4194"/>
                          <w:gridCol w:w="3887"/>
                          <w:gridCol w:w="3864"/>
                          <w:gridCol w:w="3437"/>
                        </w:tblGrid>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388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Član grupe</w:t>
                              </w:r>
                            </w:p>
                          </w:tc>
                          <w:tc>
                            <w:tcPr>
                              <w:tcW w:w="386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Vrednost ili procenat dela koji će izvršavati </w:t>
                              </w:r>
                            </w:p>
                          </w:tc>
                          <w:tc>
                            <w:tcPr>
                              <w:tcW w:w="343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Predmet ili količina koji će izvršavati</w:t>
                                <w:br/>
                              </w:r>
                            </w:p>
                          </w:tc>
                        </w:tr>
                        <w:tr>
                          <w:tblPrEx>
                            <w:tblInd w:w="39" w:type="dxa"/>
                            <w:tblCellMar>
                              <w:left w:w="0" w:type="dxa"/>
                              <w:right w:w="0" w:type="dxa"/>
                            </w:tblCellMar>
                            <w:tblLook w:val="0000"/>
                          </w:tblPrEx>
                          <w:trPr>
                            <w:trHeight w:val="262"/>
                          </w:trPr>
                          <w:tc>
                            <w:tcPr>
                              <w:tcW w:w="15382"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RESA GRADNJA doo GAT doo FITIŠ-JU doo Tehno inženjering 1992 doo</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GAT DOO NOVI SAD</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Rušenje i demontažu</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TEHNO INŽENJERING 1992 DOO NOVI SAD</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1,5%</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Zemljane radove</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RESA GRADNJA DRUŠTVO SA OGRANIČENOM ODGOVORNOŠĆU NOVI BANOVCI</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95,5%</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Ostale radove  iz predmera</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FITIŠ-JU PREDUZEĆE ZA INŽENJERING I PROIZVODNJU PROTIVPOŽARNIH I ALARMNIH SISTEMA I SISTEMA INTERNE TELEVIZIJE,DRUŠTVO SA OGRANIČENOM ODGOVORNOŠĆU  SUBOTICA</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Adresabilni sistem dojava požara</w:t>
                              </w:r>
                            </w:p>
                          </w:tc>
                        </w:tr>
                      </w:tbl>
                      <w:p>
                        <w:pPr>
                          <w:spacing w:before="0" w:after="0"/>
                          <w:rPr>
                            <w:rFonts w:ascii="Times New Roman" w:eastAsia="Times New Roman" w:hAnsi="Times New Roman"/>
                            <w:sz w:val="20"/>
                            <w:szCs w:val="20"/>
                          </w:rPr>
                        </w:pPr>
                      </w:p>
                    </w:tc>
                    <w:tc>
                      <w:tcPr>
                        <w:tcW w:w="26"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rPr>
      </w:pPr>
      <w:bookmarkStart w:id="49" w:name="_Hlk32839505_0"/>
      <w:bookmarkStart w:id="50" w:name="1_0"/>
      <w:bookmarkEnd w:id="50"/>
      <w:r>
        <w:rPr>
          <w:rFonts w:ascii="Calibri" w:eastAsia="Calibri" w:hAnsi="Calibri" w:cs="Calibri"/>
        </w:rPr>
        <w:t xml:space="preserve">Ponuda ponuđača je prihvatljiva i odgovarajuća jer ispunjava sve  uslove navedene u konkursnoj dokumentaciji što je čini prihvatljivom i odgovarajućom. </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49"/>
      <w:bookmarkStart w:id="51" w:name="2_0"/>
      <w:bookmarkEnd w:id="51"/>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