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777091" w:rsidRDefault="00070415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6540E"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42EBF" w:rsidRPr="00642EBF" w:rsidRDefault="00612AAC" w:rsidP="00FD61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06100F" w:rsidRPr="00FD61E3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6525"/>
      </w:tblGrid>
      <w:tr w:rsidR="00777091" w:rsidRPr="00174995" w:rsidTr="00FD61E3">
        <w:trPr>
          <w:trHeight w:val="489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6100F" w:rsidRPr="00FD61E3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5731"/>
        <w:gridCol w:w="740"/>
      </w:tblGrid>
      <w:tr w:rsidR="00174995" w:rsidRPr="00174995" w:rsidTr="00FD61E3">
        <w:trPr>
          <w:trHeight w:val="534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(улица и број)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D61E3">
        <w:trPr>
          <w:trHeight w:val="534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D61E3">
        <w:trPr>
          <w:trHeight w:val="507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 број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објекта (означи)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642EBF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42EBF" w:rsidRPr="00174995" w:rsidTr="00694EAF">
        <w:trPr>
          <w:trHeight w:val="1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642EBF" w:rsidRPr="00174995" w:rsidRDefault="00642EBF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642EBF" w:rsidRPr="00642EBF" w:rsidRDefault="00642EBF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Број парцеле 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642EBF" w:rsidRPr="00174995" w:rsidRDefault="00642EBF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:rsidR="000E3BDF" w:rsidRPr="00FD61E3" w:rsidRDefault="000E3BDF" w:rsidP="00FD61E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bookmarkStart w:id="0" w:name="_Hlk145668329"/>
      <w:r w:rsidR="00FD6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041E1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  <w:r w:rsidR="00FD61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E0396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="006E0396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6E0396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0468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D6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10728" w:type="dxa"/>
        <w:tblLook w:val="04A0"/>
      </w:tblPr>
      <w:tblGrid>
        <w:gridCol w:w="1615"/>
        <w:gridCol w:w="9113"/>
      </w:tblGrid>
      <w:tr w:rsidR="00777091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13" w:type="dxa"/>
          </w:tcPr>
          <w:p w:rsidR="00675765" w:rsidRPr="00B22420" w:rsidRDefault="00C86291" w:rsidP="00642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:rsidTr="00FD61E3">
        <w:trPr>
          <w:trHeight w:val="188"/>
        </w:trPr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13" w:type="dxa"/>
          </w:tcPr>
          <w:p w:rsidR="00675765" w:rsidRPr="00B22420" w:rsidRDefault="00C86291" w:rsidP="0064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13" w:type="dxa"/>
          </w:tcPr>
          <w:p w:rsidR="00675765" w:rsidRPr="00B22420" w:rsidRDefault="00C86291" w:rsidP="00642E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13" w:type="dxa"/>
          </w:tcPr>
          <w:p w:rsidR="00675765" w:rsidRPr="00B22420" w:rsidRDefault="12830216" w:rsidP="00642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777091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9113" w:type="dxa"/>
          </w:tcPr>
          <w:p w:rsidR="00C86291" w:rsidRPr="00B22420" w:rsidRDefault="009453DF" w:rsidP="00642EB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113" w:type="dxa"/>
          </w:tcPr>
          <w:p w:rsidR="0095725F" w:rsidRPr="00B22420" w:rsidRDefault="0095725F" w:rsidP="0064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113" w:type="dxa"/>
          </w:tcPr>
          <w:p w:rsidR="00675765" w:rsidRPr="00B22420" w:rsidRDefault="00C86291" w:rsidP="00642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13" w:type="dxa"/>
          </w:tcPr>
          <w:p w:rsidR="00A00A87" w:rsidRPr="00B22420" w:rsidRDefault="0095725F" w:rsidP="00642EB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9113" w:type="dxa"/>
          </w:tcPr>
          <w:p w:rsidR="00A00A87" w:rsidRPr="00B22420" w:rsidRDefault="0095725F" w:rsidP="00642EBF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FA63A6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9113" w:type="dxa"/>
            <w:vAlign w:val="center"/>
          </w:tcPr>
          <w:p w:rsidR="00FA63A6" w:rsidRPr="00B22420" w:rsidRDefault="00FA63A6" w:rsidP="00642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11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11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11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11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11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11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:rsidR="0004684C" w:rsidRDefault="00C86291" w:rsidP="00FD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меру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само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 од појединачних мера под тач. 1)-6) или тачком 8) и у оквиру пакета мера</w:t>
      </w:r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</w:rPr>
        <w:t>0% бесповратних средстава ако се примењује са неком од наведених појединачних мера.</w:t>
      </w:r>
      <w:r w:rsidR="000468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D61E3" w:rsidRPr="00FD61E3" w:rsidRDefault="00FD61E3" w:rsidP="00FD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:rsidR="00EE44F0" w:rsidRDefault="00CA16AA" w:rsidP="00FD61E3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  <w:r w:rsidR="00FD6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4F0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 w:rsidR="00EE44F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D6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4F0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D6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10638" w:type="dxa"/>
        <w:tblLook w:val="04A0"/>
      </w:tblPr>
      <w:tblGrid>
        <w:gridCol w:w="1615"/>
        <w:gridCol w:w="9023"/>
      </w:tblGrid>
      <w:tr w:rsidR="0029310E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023" w:type="dxa"/>
          </w:tcPr>
          <w:p w:rsidR="0029310E" w:rsidRPr="00B22420" w:rsidRDefault="0029310E" w:rsidP="00642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29310E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023" w:type="dxa"/>
          </w:tcPr>
          <w:p w:rsidR="0029310E" w:rsidRPr="00B22420" w:rsidRDefault="0029310E" w:rsidP="00642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</w:tr>
      <w:tr w:rsidR="0029310E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023" w:type="dxa"/>
          </w:tcPr>
          <w:p w:rsidR="0029310E" w:rsidRPr="00B22420" w:rsidRDefault="0029310E" w:rsidP="00642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29310E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023" w:type="dxa"/>
          </w:tcPr>
          <w:p w:rsidR="0029310E" w:rsidRPr="00B22420" w:rsidRDefault="0029310E" w:rsidP="00642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9023" w:type="dxa"/>
            <w:vAlign w:val="center"/>
          </w:tcPr>
          <w:p w:rsidR="00B22420" w:rsidRPr="00B22420" w:rsidRDefault="00B22420" w:rsidP="00642E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2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2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2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2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2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04684C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9023" w:type="dxa"/>
            <w:vAlign w:val="center"/>
          </w:tcPr>
          <w:p w:rsidR="005F2BA3" w:rsidRPr="00B22420" w:rsidRDefault="005F2BA3" w:rsidP="00642EBF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:rsidR="0029310E" w:rsidRPr="00777091" w:rsidRDefault="00437723" w:rsidP="0043772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**За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 се може конкурисати само заједно са неком од појединачних мера под тач.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642EB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7).Уз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/>
      </w:tblPr>
      <w:tblGrid>
        <w:gridCol w:w="715"/>
        <w:gridCol w:w="810"/>
        <w:gridCol w:w="9265"/>
      </w:tblGrid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  <w:p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на_гас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постојећег грејача простора на чврсто гориво, течно гориво или електричну енергију (котао или пећ) ефикаснијим котлом на биомасу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топлотних пумпи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 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10,8 kW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:rsidR="00C51A4F" w:rsidRDefault="00FA0DD0" w:rsidP="00FD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**За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 се може конкурисати само заједно са неком од појединачних мера под тач. 1)-6) или тачком 8) и у оквиру пакета мера</w:t>
      </w:r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2" w:name="_Hlk72263790"/>
    </w:p>
    <w:p w:rsidR="00FD61E3" w:rsidRPr="00FD61E3" w:rsidRDefault="00FD61E3" w:rsidP="00FD61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3276" w:type="pct"/>
        <w:tblLook w:val="04A0"/>
      </w:tblPr>
      <w:tblGrid>
        <w:gridCol w:w="5777"/>
        <w:gridCol w:w="1441"/>
      </w:tblGrid>
      <w:tr w:rsidR="00777091" w:rsidRPr="00777091" w:rsidTr="00642EBF">
        <w:tc>
          <w:tcPr>
            <w:tcW w:w="4002" w:type="pct"/>
          </w:tcPr>
          <w:p w:rsidR="008A0D35" w:rsidRPr="00642EBF" w:rsidRDefault="00556FCB" w:rsidP="004B4A5D">
            <w:pPr>
              <w:rPr>
                <w:rFonts w:ascii="Times New Roman" w:hAnsi="Times New Roman" w:cs="Times New Roman"/>
                <w:vertAlign w:val="superscript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r w:rsidR="00046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642EB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642EB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42E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8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:rsidTr="00FD61E3">
        <w:trPr>
          <w:trHeight w:val="323"/>
        </w:trPr>
        <w:tc>
          <w:tcPr>
            <w:tcW w:w="4002" w:type="pct"/>
          </w:tcPr>
          <w:p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 корисника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који станује у</w:t>
            </w:r>
            <w:r w:rsidR="00642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/стан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998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10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10006"/>
      </w:tblGrid>
      <w:tr w:rsidR="00777091" w:rsidRPr="00777091" w:rsidTr="00FD61E3">
        <w:trPr>
          <w:trHeight w:val="389"/>
        </w:trPr>
        <w:tc>
          <w:tcPr>
            <w:tcW w:w="10006" w:type="dxa"/>
            <w:vAlign w:val="center"/>
          </w:tcPr>
          <w:p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:rsidTr="00FD61E3">
        <w:trPr>
          <w:trHeight w:val="338"/>
        </w:trPr>
        <w:tc>
          <w:tcPr>
            <w:tcW w:w="10006" w:type="dxa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:rsidTr="00FD61E3">
        <w:trPr>
          <w:trHeight w:val="346"/>
        </w:trPr>
        <w:tc>
          <w:tcPr>
            <w:tcW w:w="1000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:rsidTr="00FD61E3">
        <w:trPr>
          <w:trHeight w:val="346"/>
        </w:trPr>
        <w:tc>
          <w:tcPr>
            <w:tcW w:w="1000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:rsidTr="00FD61E3">
        <w:trPr>
          <w:trHeight w:val="346"/>
        </w:trPr>
        <w:tc>
          <w:tcPr>
            <w:tcW w:w="1000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10004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10004"/>
      </w:tblGrid>
      <w:tr w:rsidR="00777091" w:rsidRPr="00777091" w:rsidTr="00FD61E3">
        <w:trPr>
          <w:trHeight w:val="410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540E" w:rsidRPr="00777091" w:rsidRDefault="0DC84258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начингрејања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0FD61E3">
        <w:trPr>
          <w:trHeight w:val="346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:rsidTr="00FD61E3">
        <w:trPr>
          <w:trHeight w:val="34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:rsidTr="00FD61E3">
        <w:trPr>
          <w:trHeight w:val="346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:rsidTr="00FD61E3">
        <w:trPr>
          <w:trHeight w:val="35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:rsidTr="00FD61E3">
        <w:trPr>
          <w:trHeight w:val="35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:rsidTr="00FD61E3">
        <w:trPr>
          <w:trHeight w:val="35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:rsidTr="00FD61E3">
        <w:trPr>
          <w:trHeight w:val="37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642EBF" w:rsidRDefault="00771A21" w:rsidP="00B04B51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10004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10004"/>
      </w:tblGrid>
      <w:tr w:rsidR="00B01010" w:rsidRPr="00777091" w:rsidTr="00FD61E3">
        <w:trPr>
          <w:trHeight w:val="410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:rsidTr="00FD61E3">
        <w:trPr>
          <w:trHeight w:val="346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:rsidTr="00FD61E3">
        <w:trPr>
          <w:trHeight w:val="34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:rsidTr="00FD61E3">
        <w:trPr>
          <w:trHeight w:val="346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:rsidTr="00FD61E3">
        <w:trPr>
          <w:trHeight w:val="35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:rsidTr="00FD61E3">
        <w:trPr>
          <w:trHeight w:val="35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:rsidTr="00FD61E3">
        <w:trPr>
          <w:trHeight w:val="35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:rsidTr="00FD61E3">
        <w:trPr>
          <w:trHeight w:val="353"/>
        </w:trPr>
        <w:tc>
          <w:tcPr>
            <w:tcW w:w="100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642EBF" w:rsidRDefault="00B01010" w:rsidP="00FD6FF6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</w:tc>
      </w:tr>
    </w:tbl>
    <w:p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0008"/>
      </w:tblGrid>
      <w:tr w:rsidR="00777091" w:rsidRPr="00777091" w:rsidTr="00FD61E3">
        <w:tc>
          <w:tcPr>
            <w:tcW w:w="10008" w:type="dxa"/>
          </w:tcPr>
          <w:p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r w:rsidR="00FD6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0FD61E3">
        <w:trPr>
          <w:trHeight w:val="346"/>
        </w:trPr>
        <w:tc>
          <w:tcPr>
            <w:tcW w:w="10008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:rsidTr="00FD61E3">
        <w:trPr>
          <w:trHeight w:val="343"/>
        </w:trPr>
        <w:tc>
          <w:tcPr>
            <w:tcW w:w="10008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:rsidR="00FD61E3" w:rsidRDefault="00FD61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Датум:________202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.год.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:rsidR="00030EE3" w:rsidRPr="00777091" w:rsidRDefault="00FD61E3" w:rsidP="00FD6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30EE3" w:rsidRPr="00777091">
        <w:rPr>
          <w:rFonts w:ascii="Times New Roman" w:hAnsi="Times New Roman" w:cs="Times New Roman"/>
          <w:sz w:val="24"/>
          <w:szCs w:val="24"/>
        </w:rPr>
        <w:t>Потпис подносиоца захтева</w:t>
      </w:r>
    </w:p>
    <w:p w:rsidR="00CB7E8C" w:rsidRPr="00FD61E3" w:rsidRDefault="00FD61E3" w:rsidP="00FD61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B7E8C" w:rsidRPr="00FD61E3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E82" w:rsidRDefault="00EB6E82" w:rsidP="00CB7E8C">
      <w:pPr>
        <w:spacing w:after="0" w:line="240" w:lineRule="auto"/>
      </w:pPr>
      <w:r>
        <w:separator/>
      </w:r>
    </w:p>
  </w:endnote>
  <w:endnote w:type="continuationSeparator" w:id="1">
    <w:p w:rsidR="00EB6E82" w:rsidRDefault="00EB6E82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E82" w:rsidRDefault="00EB6E82" w:rsidP="00CB7E8C">
      <w:pPr>
        <w:spacing w:after="0" w:line="240" w:lineRule="auto"/>
      </w:pPr>
      <w:r>
        <w:separator/>
      </w:r>
    </w:p>
  </w:footnote>
  <w:footnote w:type="continuationSeparator" w:id="1">
    <w:p w:rsidR="00EB6E82" w:rsidRDefault="00EB6E82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4684C"/>
    <w:rsid w:val="00052AB5"/>
    <w:rsid w:val="00054D2F"/>
    <w:rsid w:val="0006100F"/>
    <w:rsid w:val="00062C9F"/>
    <w:rsid w:val="00070415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2EBF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144B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524C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159F0"/>
    <w:rsid w:val="00E2074C"/>
    <w:rsid w:val="00E247E0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B6E82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D61E3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Željka</cp:lastModifiedBy>
  <cp:revision>4</cp:revision>
  <cp:lastPrinted>2024-07-24T07:40:00Z</cp:lastPrinted>
  <dcterms:created xsi:type="dcterms:W3CDTF">2024-06-18T06:27:00Z</dcterms:created>
  <dcterms:modified xsi:type="dcterms:W3CDTF">2024-07-24T08:03:00Z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